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38688">
      <w:pPr>
        <w:jc w:val="both"/>
        <w:textAlignment w:val="baseline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>附件三：</w:t>
      </w:r>
    </w:p>
    <w:p w14:paraId="3BC6FEA8">
      <w:pPr>
        <w:jc w:val="both"/>
        <w:textAlignment w:val="baseline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2024全国大学生“梦回唐王城，醉美永安湖”文旅</w:t>
      </w:r>
    </w:p>
    <w:p w14:paraId="5F876904">
      <w:pPr>
        <w:ind w:firstLine="2168" w:firstLineChars="600"/>
        <w:jc w:val="both"/>
        <w:textAlignment w:val="baseline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创新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大赛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初赛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评分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标准</w:t>
      </w:r>
    </w:p>
    <w:p w14:paraId="20C45667">
      <w:pPr>
        <w:textAlignment w:val="baseline"/>
        <w:rPr>
          <w:sz w:val="22"/>
          <w:szCs w:val="28"/>
        </w:rPr>
      </w:pPr>
    </w:p>
    <w:tbl>
      <w:tblPr>
        <w:tblStyle w:val="5"/>
        <w:tblW w:w="4896" w:type="pct"/>
        <w:tblInd w:w="0" w:type="dxa"/>
        <w:tbl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single" w:color="4BACC6" w:sz="8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5991"/>
        <w:gridCol w:w="1358"/>
      </w:tblGrid>
      <w:tr w14:paraId="59929926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596" w:type="pct"/>
            <w:tcBorders>
              <w:tl2br w:val="nil"/>
              <w:tr2bl w:val="nil"/>
            </w:tcBorders>
            <w:shd w:val="clear" w:color="auto" w:fill="4BACC6"/>
            <w:vAlign w:val="center"/>
          </w:tcPr>
          <w:p w14:paraId="153E5110">
            <w:pPr>
              <w:jc w:val="center"/>
              <w:textAlignment w:val="baseline"/>
              <w:rPr>
                <w:rFonts w:ascii="黑体" w:hAnsi="黑体" w:eastAsia="黑体" w:cs="黑体"/>
                <w:color w:val="FFFFFF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FFFFFF"/>
                <w:sz w:val="32"/>
                <w:szCs w:val="40"/>
              </w:rPr>
              <w:t>指标</w:t>
            </w: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4BACC6"/>
            <w:vAlign w:val="center"/>
          </w:tcPr>
          <w:p w14:paraId="6611DCC4">
            <w:pPr>
              <w:jc w:val="center"/>
              <w:textAlignment w:val="baseline"/>
              <w:rPr>
                <w:rFonts w:ascii="黑体" w:hAnsi="黑体" w:eastAsia="黑体" w:cs="黑体"/>
                <w:color w:val="FFFFFF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FFFFFF"/>
                <w:sz w:val="32"/>
                <w:szCs w:val="40"/>
              </w:rPr>
              <w:t>评分要素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4BACC6"/>
            <w:vAlign w:val="center"/>
          </w:tcPr>
          <w:p w14:paraId="7A228E0B">
            <w:pPr>
              <w:jc w:val="center"/>
              <w:textAlignment w:val="baseline"/>
              <w:rPr>
                <w:rFonts w:ascii="黑体" w:hAnsi="黑体" w:eastAsia="黑体" w:cs="黑体"/>
                <w:color w:val="FFFFFF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FFFFFF"/>
                <w:sz w:val="32"/>
                <w:szCs w:val="40"/>
              </w:rPr>
              <w:t>占分（分）</w:t>
            </w:r>
          </w:p>
        </w:tc>
      </w:tr>
      <w:tr w14:paraId="1895955F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596" w:type="pct"/>
            <w:vMerge w:val="restart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48A4ADB4">
            <w:pPr>
              <w:jc w:val="center"/>
              <w:textAlignment w:val="baseline"/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</w:rPr>
              <w:t>创新性</w:t>
            </w: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A1C713B">
            <w:pPr>
              <w:textAlignment w:val="baseline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构思和表达方式有新意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D84EF93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10</w:t>
            </w:r>
          </w:p>
        </w:tc>
      </w:tr>
      <w:tr w14:paraId="32081D44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596" w:type="pct"/>
            <w:vMerge w:val="continue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6D1F6132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</w:rPr>
            </w:pP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41A295E">
            <w:pPr>
              <w:textAlignment w:val="baseline"/>
              <w:rPr>
                <w:rFonts w:ascii="黑体" w:hAnsi="黑体" w:eastAsia="黑体" w:cs="黑体"/>
                <w:b/>
                <w:bCs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方案较好地体现资料创新、方法创新、成果创新、实践创新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35F2408A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10</w:t>
            </w:r>
          </w:p>
        </w:tc>
      </w:tr>
      <w:tr w14:paraId="0F8D31D1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596" w:type="pct"/>
            <w:vMerge w:val="restart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55D5CEB9">
            <w:pPr>
              <w:jc w:val="center"/>
              <w:textAlignment w:val="baseline"/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  <w:lang w:val="en-US" w:eastAsia="zh-CN"/>
              </w:rPr>
              <w:t>市场</w:t>
            </w:r>
          </w:p>
          <w:p w14:paraId="2A46174F">
            <w:pPr>
              <w:jc w:val="center"/>
              <w:textAlignment w:val="baseline"/>
              <w:rPr>
                <w:rFonts w:hint="default" w:ascii="黑体" w:hAnsi="黑体" w:eastAsia="黑体" w:cs="黑体"/>
                <w:color w:val="00000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  <w:lang w:val="en-US" w:eastAsia="zh-CN"/>
              </w:rPr>
              <w:t>应用</w:t>
            </w: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5788292">
            <w:pPr>
              <w:textAlignment w:val="baseline"/>
              <w:rPr>
                <w:rFonts w:hint="eastAsia" w:ascii="黑体" w:hAnsi="黑体" w:eastAsia="黑体" w:cs="黑体"/>
                <w:color w:val="00000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符合市场发展态势，</w:t>
            </w: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内容具有一定前瞻性，市场</w:t>
            </w:r>
            <w:r>
              <w:rPr>
                <w:rFonts w:hint="eastAsia" w:ascii="黑体" w:hAnsi="黑体" w:eastAsia="黑体" w:cs="黑体"/>
                <w:color w:val="000000"/>
              </w:rPr>
              <w:t>应用前景较好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04C33A6">
            <w:pPr>
              <w:jc w:val="center"/>
              <w:textAlignment w:val="baseline"/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10</w:t>
            </w:r>
          </w:p>
        </w:tc>
      </w:tr>
      <w:tr w14:paraId="7DA2F97B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596" w:type="pct"/>
            <w:vMerge w:val="continue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5B83D3E2">
            <w:pPr>
              <w:jc w:val="center"/>
              <w:textAlignment w:val="baseline"/>
              <w:rPr>
                <w:rFonts w:hint="eastAsia" w:ascii="黑体" w:hAnsi="黑体" w:eastAsia="黑体" w:cs="黑体"/>
                <w:color w:val="000000"/>
                <w:lang w:val="en-US" w:eastAsia="zh-CN"/>
              </w:rPr>
            </w:pP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967A528">
            <w:pPr>
              <w:textAlignment w:val="baseline"/>
              <w:rPr>
                <w:rFonts w:hint="eastAsia"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围绕大赛主题“赋能南疆旅游 助力文化润疆</w:t>
            </w: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”，成果有一定实用价值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2036E92">
            <w:pPr>
              <w:jc w:val="center"/>
              <w:textAlignment w:val="baseline"/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10</w:t>
            </w:r>
          </w:p>
        </w:tc>
      </w:tr>
      <w:tr w14:paraId="1530EA6C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596" w:type="pct"/>
            <w:vMerge w:val="restart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3F8913A4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</w:rPr>
              <w:t>可行性</w:t>
            </w: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7BF3714">
            <w:pPr>
              <w:textAlignment w:val="baseline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追踪</w:t>
            </w: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文旅融合新</w:t>
            </w:r>
            <w:r>
              <w:rPr>
                <w:rFonts w:hint="eastAsia" w:ascii="黑体" w:hAnsi="黑体" w:eastAsia="黑体" w:cs="黑体"/>
                <w:color w:val="000000"/>
              </w:rPr>
              <w:t>动态，作品运用SWOT分析等方法分析市场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4FF991E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10</w:t>
            </w:r>
          </w:p>
        </w:tc>
      </w:tr>
      <w:tr w14:paraId="426C0021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596" w:type="pct"/>
            <w:vMerge w:val="continue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535D3ED5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</w:rPr>
            </w:pP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F77B9AF">
            <w:pPr>
              <w:textAlignment w:val="baseline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color w:val="000000"/>
              </w:rPr>
              <w:t>项目实施具有</w:t>
            </w: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可行性、</w:t>
            </w:r>
            <w:r>
              <w:rPr>
                <w:rFonts w:hint="eastAsia" w:ascii="黑体" w:hAnsi="黑体" w:eastAsia="黑体" w:cs="黑体"/>
                <w:color w:val="000000"/>
              </w:rPr>
              <w:t>可持续性和可操作性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2B8100D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  <w:sz w:val="28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10</w:t>
            </w:r>
          </w:p>
        </w:tc>
      </w:tr>
      <w:tr w14:paraId="6411B55A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96" w:type="pct"/>
            <w:vMerge w:val="restart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130F4DC5">
            <w:pPr>
              <w:jc w:val="center"/>
              <w:textAlignment w:val="baseline"/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  <w:lang w:val="en-US" w:eastAsia="zh-CN"/>
              </w:rPr>
              <w:t>主题</w:t>
            </w:r>
          </w:p>
          <w:p w14:paraId="31F9B4C4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  <w:lang w:val="en-US" w:eastAsia="zh-CN"/>
              </w:rPr>
              <w:t>特色</w:t>
            </w: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6FED137">
            <w:pPr>
              <w:textAlignment w:val="baseline"/>
              <w:rPr>
                <w:rFonts w:hint="default" w:ascii="黑体" w:hAnsi="黑体" w:eastAsia="黑体" w:cs="黑体"/>
                <w:color w:val="00000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主题特色鲜明且与内容符合，选题有创新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7DE0382">
            <w:pPr>
              <w:jc w:val="center"/>
              <w:textAlignment w:val="baseline"/>
              <w:rPr>
                <w:rFonts w:hint="eastAsia" w:ascii="黑体" w:hAnsi="黑体" w:eastAsia="黑体" w:cs="黑体"/>
                <w:color w:val="000000"/>
                <w:sz w:val="28"/>
                <w:szCs w:val="36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  <w:lang w:val="en-US" w:eastAsia="zh-CN"/>
              </w:rPr>
              <w:t>0</w:t>
            </w:r>
          </w:p>
        </w:tc>
      </w:tr>
      <w:tr w14:paraId="4EFA24BB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596" w:type="pct"/>
            <w:vMerge w:val="continue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364A2E20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</w:rPr>
            </w:pP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CC3A0C0">
            <w:pPr>
              <w:textAlignment w:val="baseline"/>
              <w:rPr>
                <w:rFonts w:hint="default" w:ascii="黑体" w:hAnsi="黑体" w:eastAsia="黑体" w:cs="黑体"/>
                <w:color w:val="00000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依据主办方提供的参考资料，具有自然资源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或文化内涵支撑，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33ECB2C">
            <w:pPr>
              <w:jc w:val="center"/>
              <w:textAlignment w:val="baseline"/>
              <w:rPr>
                <w:rFonts w:hint="eastAsia" w:ascii="黑体" w:hAnsi="黑体" w:eastAsia="黑体" w:cs="黑体"/>
                <w:color w:val="000000"/>
                <w:sz w:val="28"/>
                <w:szCs w:val="36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  <w:lang w:val="en-US" w:eastAsia="zh-CN"/>
              </w:rPr>
              <w:t>0</w:t>
            </w:r>
          </w:p>
        </w:tc>
      </w:tr>
      <w:tr w14:paraId="3792E140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596" w:type="pct"/>
            <w:vMerge w:val="restart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3DADF807">
            <w:pPr>
              <w:jc w:val="center"/>
              <w:textAlignment w:val="baseline"/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  <w:lang w:val="en-US" w:eastAsia="zh-CN"/>
              </w:rPr>
              <w:t>综合</w:t>
            </w:r>
          </w:p>
          <w:p w14:paraId="541E4B2F">
            <w:pPr>
              <w:jc w:val="center"/>
              <w:textAlignment w:val="baseline"/>
              <w:rPr>
                <w:rFonts w:hint="default" w:ascii="黑体" w:hAnsi="黑体" w:eastAsia="黑体" w:cs="黑体"/>
                <w:color w:val="00000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0000"/>
                <w:sz w:val="24"/>
                <w:szCs w:val="32"/>
                <w:lang w:val="en-US" w:eastAsia="zh-CN"/>
              </w:rPr>
              <w:t>评分</w:t>
            </w: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7031108">
            <w:pPr>
              <w:textAlignment w:val="baseline"/>
              <w:rPr>
                <w:rFonts w:hint="default" w:ascii="黑体" w:hAnsi="黑体" w:eastAsia="黑体" w:cs="黑体"/>
                <w:color w:val="00000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方案的整体呈现形式美观、层次分明、体系完整、重点突出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FBF4C92">
            <w:pPr>
              <w:jc w:val="center"/>
              <w:textAlignment w:val="baseline"/>
              <w:rPr>
                <w:rFonts w:hint="eastAsia" w:ascii="黑体" w:hAnsi="黑体" w:eastAsia="黑体" w:cs="黑体"/>
                <w:color w:val="000000"/>
                <w:sz w:val="28"/>
                <w:szCs w:val="36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  <w:lang w:val="en-US" w:eastAsia="zh-CN"/>
              </w:rPr>
              <w:t>0</w:t>
            </w:r>
          </w:p>
        </w:tc>
      </w:tr>
      <w:tr w14:paraId="021AA605">
        <w:tblPrEx>
          <w:tblBorders>
            <w:top w:val="single" w:color="4BACC6" w:sz="8" w:space="0"/>
            <w:left w:val="single" w:color="4BACC6" w:sz="8" w:space="0"/>
            <w:bottom w:val="single" w:color="4BACC6" w:sz="8" w:space="0"/>
            <w:right w:val="single" w:color="4BACC6" w:sz="8" w:space="0"/>
            <w:insideH w:val="single" w:color="4BACC6" w:sz="8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596" w:type="pct"/>
            <w:vMerge w:val="continue"/>
            <w:tcBorders>
              <w:tl2br w:val="nil"/>
              <w:tr2bl w:val="nil"/>
            </w:tcBorders>
            <w:shd w:val="clear" w:color="auto" w:fill="97E7EC"/>
            <w:vAlign w:val="center"/>
          </w:tcPr>
          <w:p w14:paraId="289ABA24">
            <w:pPr>
              <w:jc w:val="center"/>
              <w:textAlignment w:val="baseline"/>
              <w:rPr>
                <w:rFonts w:ascii="黑体" w:hAnsi="黑体" w:eastAsia="黑体" w:cs="黑体"/>
                <w:color w:val="000000"/>
              </w:rPr>
            </w:pPr>
          </w:p>
        </w:tc>
        <w:tc>
          <w:tcPr>
            <w:tcW w:w="3589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4E67147">
            <w:pPr>
              <w:textAlignment w:val="baseline"/>
              <w:rPr>
                <w:rFonts w:hint="default" w:ascii="黑体" w:hAnsi="黑体" w:eastAsia="黑体" w:cs="黑体"/>
                <w:color w:val="00000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lang w:val="en-US" w:eastAsia="zh-CN"/>
              </w:rPr>
              <w:t>符合大赛总体要求，作品能体现出良好的思考力和表达力</w:t>
            </w:r>
          </w:p>
        </w:tc>
        <w:tc>
          <w:tcPr>
            <w:tcW w:w="813" w:type="pct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5482F2C">
            <w:pPr>
              <w:jc w:val="center"/>
              <w:textAlignment w:val="baseline"/>
              <w:rPr>
                <w:rFonts w:hint="eastAsia" w:ascii="黑体" w:hAnsi="黑体" w:eastAsia="黑体" w:cs="黑体"/>
                <w:color w:val="000000"/>
                <w:sz w:val="28"/>
                <w:szCs w:val="36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</w:rPr>
              <w:t>1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36"/>
                <w:lang w:val="en-US" w:eastAsia="zh-CN"/>
              </w:rPr>
              <w:t>0</w:t>
            </w:r>
          </w:p>
        </w:tc>
      </w:tr>
    </w:tbl>
    <w:p w14:paraId="63AAC426">
      <w:pPr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特别说明：</w:t>
      </w:r>
    </w:p>
    <w:p w14:paraId="5CBB116A">
      <w:pPr>
        <w:numPr>
          <w:ilvl w:val="0"/>
          <w:numId w:val="0"/>
        </w:numPr>
        <w:ind w:left="370" w:leftChars="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1.参赛团队需提交完整的作品，除新媒体（短视频）创作（含脚本）外，其他作品格式</w:t>
      </w:r>
    </w:p>
    <w:p w14:paraId="6F02B2C2">
      <w:pPr>
        <w:numPr>
          <w:ilvl w:val="0"/>
          <w:numId w:val="0"/>
        </w:numPr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为PDF版电子文档，力求具有时代性、创新性，便于应用和推广。 </w:t>
      </w:r>
    </w:p>
    <w:p w14:paraId="55451785">
      <w:pPr>
        <w:numPr>
          <w:ilvl w:val="0"/>
          <w:numId w:val="0"/>
        </w:numPr>
        <w:ind w:left="370" w:leftChars="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2.参赛作品必须为原创，大赛不接受参与过其他比赛的获奖作品。进入决赛的作品版权</w:t>
      </w:r>
    </w:p>
    <w:p w14:paraId="01195D04">
      <w:pPr>
        <w:numPr>
          <w:ilvl w:val="0"/>
          <w:numId w:val="0"/>
        </w:numPr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归主办方所有。严禁抄袭、模仿、拷贝他人的作品，一经查出大赛组委会有权取消其参赛资格。如损害第三方合法权益，参赛者应承担全部法律责任。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zNzJlMTRkZjRmZmNjZGQzYTNkYjhhZDZmNzRkNmUifQ=="/>
  </w:docVars>
  <w:rsids>
    <w:rsidRoot w:val="00172A27"/>
    <w:rsid w:val="0000379B"/>
    <w:rsid w:val="00085967"/>
    <w:rsid w:val="001000C0"/>
    <w:rsid w:val="0010123E"/>
    <w:rsid w:val="00215BBB"/>
    <w:rsid w:val="00231580"/>
    <w:rsid w:val="002F573E"/>
    <w:rsid w:val="0043387F"/>
    <w:rsid w:val="004A075B"/>
    <w:rsid w:val="00563622"/>
    <w:rsid w:val="00680E1A"/>
    <w:rsid w:val="0073185E"/>
    <w:rsid w:val="008B1CD8"/>
    <w:rsid w:val="00AF5D26"/>
    <w:rsid w:val="00B755F4"/>
    <w:rsid w:val="00D32063"/>
    <w:rsid w:val="00E553BE"/>
    <w:rsid w:val="00EF1BAE"/>
    <w:rsid w:val="00F02CD8"/>
    <w:rsid w:val="00F21337"/>
    <w:rsid w:val="00FC5C05"/>
    <w:rsid w:val="0365651E"/>
    <w:rsid w:val="0CF723AC"/>
    <w:rsid w:val="15AD091E"/>
    <w:rsid w:val="21826577"/>
    <w:rsid w:val="220308BC"/>
    <w:rsid w:val="2E18357E"/>
    <w:rsid w:val="37AC319E"/>
    <w:rsid w:val="38FE4EB2"/>
    <w:rsid w:val="3CC102C5"/>
    <w:rsid w:val="45C73873"/>
    <w:rsid w:val="4F5B752C"/>
    <w:rsid w:val="59441031"/>
    <w:rsid w:val="5B6A3A6D"/>
    <w:rsid w:val="5B6B4D78"/>
    <w:rsid w:val="5E3F708B"/>
    <w:rsid w:val="608E2F96"/>
    <w:rsid w:val="62600A34"/>
    <w:rsid w:val="62E27F79"/>
    <w:rsid w:val="64C63898"/>
    <w:rsid w:val="68CD3467"/>
    <w:rsid w:val="68DC267E"/>
    <w:rsid w:val="6A4D49E6"/>
    <w:rsid w:val="728265C8"/>
    <w:rsid w:val="7A87122F"/>
    <w:rsid w:val="7B3665D4"/>
    <w:rsid w:val="7D3C126E"/>
    <w:rsid w:val="7E776FD1"/>
    <w:rsid w:val="7EBB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479</Words>
  <Characters>496</Characters>
  <Lines>2</Lines>
  <Paragraphs>1</Paragraphs>
  <TotalTime>2</TotalTime>
  <ScaleCrop>false</ScaleCrop>
  <LinksUpToDate>false</LinksUpToDate>
  <CharactersWithSpaces>499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2022-11-20T08:41:00Z</dcterms:created>
  <dc:creator>wuyinglin</dc:creator>
  <cp:lastModifiedBy>程巍</cp:lastModifiedBy>
  <dcterms:modified xsi:type="dcterms:W3CDTF">2024-09-25T13:39:19Z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AB0F918CB72C413F8DB25EFCB340AB95</vt:lpwstr>
  </property>
</Properties>
</file>